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38" w:rsidRPr="00A46D38" w:rsidRDefault="00A46D38" w:rsidP="00A46D38">
      <w:pPr>
        <w:spacing w:after="0" w:line="181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   To, že se Brno </w:t>
      </w:r>
      <w:proofErr w:type="gram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stalo</w:t>
      </w:r>
      <w:proofErr w:type="gram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centrem jednoho z největších konzervárenských podniků u nás </w:t>
      </w:r>
      <w:proofErr w:type="gram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není</w:t>
      </w:r>
      <w:proofErr w:type="gram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náhodou. Již v roce 1936 byla v Brně založena družstevní organizace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Biochema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, zemědělský lučební závod, později akciová společnost. Soustředila se zde různorodá výroba pro potřeby zemědělského družstevnictví. Např. bílkovinná krmiva, kostní klíh, ochranné prostředky proti škůdcům,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mydlářské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výrobky apod. Původní provozovny v Brně-Komárově nestačily a výroba byla přesunuta do základního závodu v 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Modřicích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. V roce 1945 opouští podnik výrobu válečného náhražkového zboží a soustřeďuje se na potravinářský sortiment. V září 1947 byla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Biochema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vyhlášena Ministerstvem výživy národním podnikem.</w:t>
      </w:r>
    </w:p>
    <w:p w:rsidR="00A46D38" w:rsidRPr="00A46D38" w:rsidRDefault="00A46D38" w:rsidP="00A46D38">
      <w:pPr>
        <w:spacing w:after="0" w:line="181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    V r. 1948 byla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Biochema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pověřena znárodněním a správou všech konzerváren n Čechách a na Moravě. Byly to např. KVALITA Bzenec, ORMIL Přerov, NOVA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Praha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-Holešovice, KNOR Praha a Podivín, BRILIANT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Praha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-Horní Počernice, REKORD Tábor, FRUTA Lovosice, DEKO Nové Město nad Metují, aj.</w:t>
      </w:r>
    </w:p>
    <w:p w:rsidR="00A46D38" w:rsidRPr="00A46D38" w:rsidRDefault="00A46D38" w:rsidP="00A46D38">
      <w:pPr>
        <w:spacing w:after="0" w:line="181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    Celý tento velký podnik dostává </w:t>
      </w:r>
      <w:proofErr w:type="gram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14.prosince</w:t>
      </w:r>
      <w:proofErr w:type="gram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1948 název národní podnik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Fruta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Brno. Tzv. „Velká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Fruta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“ byla jen přechodným stupněm v organizaci konzervárenského průmyslu u </w:t>
      </w:r>
      <w:proofErr w:type="gram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nás.1. ledna</w:t>
      </w:r>
      <w:proofErr w:type="gram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1951 došlo k prvnímu dělení podniku podle krajové a správní reorganizace státu. Oddělují se konzervárny, z nichž v jednotlivých krajích vznikají národní podniky.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Fruta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Brno mění svůj název na národní podnik Jihomoravská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Fruta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Modřice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. V lednu 1953 se Jihomoravská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Fruta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dále dělí na tři národní podniky: Brněnskou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Frutu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, Břeclavskou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Frutu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a Znojemskou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Frutu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.    Dubna 1958 se všechny tři národní podniky opět slučují do Jihomoravské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Fruty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se sídlem v 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Modřicích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u Brna.</w:t>
      </w:r>
    </w:p>
    <w:p w:rsidR="00A46D38" w:rsidRPr="00A46D38" w:rsidRDefault="00A46D38" w:rsidP="00A46D38">
      <w:pPr>
        <w:spacing w:after="0" w:line="181" w:lineRule="atLeast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    1. července 1960 se přičleňují ke konzervárnám závody Aroma Brno a Rájec nad Svitavou z Moravských lihovarů a závod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Starorežná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Prostějov z Hanáckých lihovarů a drožďáren Olomouc. Tím se rozšířil výrobní program podniku o lihovarskou výrobu. Od roku 1963 do roku 1965 byly součástí Jihomoravské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Fruty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rovněž Slovácké konzervárny Uherské Hradiště.</w:t>
      </w:r>
    </w:p>
    <w:p w:rsidR="00A46D38" w:rsidRDefault="00A46D38" w:rsidP="00A46D38">
      <w:pPr>
        <w:spacing w:after="0" w:line="181" w:lineRule="atLeast"/>
        <w:rPr>
          <w:rFonts w:ascii="Tahoma" w:eastAsia="Times New Roman" w:hAnsi="Tahoma" w:cs="Tahoma"/>
          <w:color w:val="000033"/>
          <w:sz w:val="20"/>
          <w:szCs w:val="20"/>
          <w:lang w:eastAsia="cs-CZ"/>
        </w:rPr>
      </w:pPr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    Teprve od 1. ledna 1966 se stabilizuje organizační uspořádání podniku, který se vrací i k původnímu názvu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Fruta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Brno. </w:t>
      </w:r>
      <w:proofErr w:type="spell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Fruta</w:t>
      </w:r>
      <w:proofErr w:type="spell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</w:t>
      </w:r>
      <w:proofErr w:type="gram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Brno</w:t>
      </w:r>
      <w:proofErr w:type="gram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měla </w:t>
      </w:r>
      <w:proofErr w:type="gramStart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>sedm</w:t>
      </w:r>
      <w:proofErr w:type="gramEnd"/>
      <w:r w:rsidRPr="00A46D38">
        <w:rPr>
          <w:rFonts w:ascii="Tahoma" w:eastAsia="Times New Roman" w:hAnsi="Tahoma" w:cs="Tahoma"/>
          <w:color w:val="000033"/>
          <w:sz w:val="20"/>
          <w:szCs w:val="20"/>
          <w:lang w:eastAsia="cs-CZ"/>
        </w:rPr>
        <w:t xml:space="preserve"> základních závodů, které vznikly postupnou koncentrací a specializací výroby, přestavbou starších provozoven a výstavbou nových závodů.</w:t>
      </w:r>
    </w:p>
    <w:p w:rsidR="00EF2616" w:rsidRDefault="00EF2616" w:rsidP="00A46D38">
      <w:pPr>
        <w:spacing w:after="0" w:line="181" w:lineRule="atLeast"/>
        <w:rPr>
          <w:rFonts w:ascii="Tahoma" w:eastAsia="Times New Roman" w:hAnsi="Tahoma" w:cs="Tahoma"/>
          <w:color w:val="000033"/>
          <w:sz w:val="20"/>
          <w:szCs w:val="20"/>
          <w:lang w:eastAsia="cs-CZ"/>
        </w:rPr>
      </w:pPr>
    </w:p>
    <w:p w:rsidR="00EF2616" w:rsidRPr="00A46D38" w:rsidRDefault="00EF2616" w:rsidP="00A46D38">
      <w:pPr>
        <w:spacing w:after="0" w:line="181" w:lineRule="atLeast"/>
        <w:rPr>
          <w:rFonts w:ascii="Tahoma" w:eastAsia="Times New Roman" w:hAnsi="Tahoma" w:cs="Tahoma"/>
          <w:color w:val="000033"/>
          <w:sz w:val="20"/>
          <w:szCs w:val="20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59060" cy="4045454"/>
            <wp:effectExtent l="19050" t="0" r="0" b="0"/>
            <wp:docPr id="1" name="obrázek 1" descr="http://img03.allegroimg.pl/photos/oryginal/47/94/30/93/4794309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3.allegroimg.pl/photos/oryginal/47/94/30/93/47943093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077" cy="404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D38" w:rsidRPr="00A46D38" w:rsidRDefault="00A46D38" w:rsidP="00A46D38">
      <w:pPr>
        <w:spacing w:after="0" w:line="181" w:lineRule="atLeast"/>
        <w:rPr>
          <w:rFonts w:ascii="Tahoma" w:eastAsia="Times New Roman" w:hAnsi="Tahoma" w:cs="Tahoma"/>
          <w:color w:val="000000"/>
          <w:sz w:val="12"/>
          <w:szCs w:val="12"/>
          <w:lang w:eastAsia="cs-CZ"/>
        </w:rPr>
      </w:pPr>
    </w:p>
    <w:p w:rsidR="00EF2616" w:rsidRDefault="00EF2616" w:rsidP="00A46D38">
      <w:pPr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2D2D2D"/>
          <w:sz w:val="20"/>
          <w:szCs w:val="20"/>
          <w:u w:val="single"/>
          <w:lang w:eastAsia="cs-CZ"/>
        </w:rPr>
      </w:pPr>
    </w:p>
    <w:p w:rsidR="00EF2616" w:rsidRDefault="00EF2616" w:rsidP="00A46D38">
      <w:pPr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2D2D2D"/>
          <w:sz w:val="20"/>
          <w:szCs w:val="20"/>
          <w:u w:val="single"/>
          <w:lang w:eastAsia="cs-CZ"/>
        </w:rPr>
      </w:pPr>
    </w:p>
    <w:p w:rsidR="00EF2616" w:rsidRDefault="00EF2616" w:rsidP="00A46D38">
      <w:pPr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2D2D2D"/>
          <w:sz w:val="20"/>
          <w:szCs w:val="20"/>
          <w:u w:val="single"/>
          <w:lang w:eastAsia="cs-CZ"/>
        </w:rPr>
      </w:pPr>
    </w:p>
    <w:p w:rsidR="00A46D38" w:rsidRPr="00A46D38" w:rsidRDefault="00A46D38" w:rsidP="00A46D38">
      <w:pPr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2D2D2D"/>
          <w:sz w:val="20"/>
          <w:szCs w:val="20"/>
          <w:u w:val="single"/>
          <w:lang w:eastAsia="cs-CZ"/>
        </w:rPr>
      </w:pPr>
      <w:r w:rsidRPr="00A46D38">
        <w:rPr>
          <w:rFonts w:ascii="Arial" w:eastAsia="Times New Roman" w:hAnsi="Arial" w:cs="Arial"/>
          <w:color w:val="2D2D2D"/>
          <w:sz w:val="20"/>
          <w:szCs w:val="20"/>
          <w:u w:val="single"/>
          <w:lang w:eastAsia="cs-CZ"/>
        </w:rPr>
        <w:lastRenderedPageBreak/>
        <w:t>Průmysl  v Brně na přelomu 80. a 90. let 20. století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Jihomoravské plynárny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Plynárenská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Jihomoravské energetické závody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Lidická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Jihomoravské elektrárny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Okružní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Sigma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Lachema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Karásek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První brněnská strojírna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Olomoucká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Královopolská strojírna 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- Křižíkova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Zetor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Trnkova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6" w:tooltip="Zbrojovka" w:history="1">
        <w:r w:rsidRPr="00A46D38">
          <w:rPr>
            <w:rFonts w:ascii="Arial" w:eastAsia="Times New Roman" w:hAnsi="Arial" w:cs="Arial"/>
            <w:b/>
            <w:bCs/>
            <w:color w:val="1C1C1C"/>
            <w:sz w:val="20"/>
            <w:szCs w:val="20"/>
            <w:lang w:eastAsia="cs-CZ"/>
          </w:rPr>
          <w:t>Zbrojovka</w:t>
        </w:r>
        <w:r w:rsidRPr="00A46D38">
          <w:rPr>
            <w:rFonts w:ascii="Arial" w:eastAsia="Times New Roman" w:hAnsi="Arial" w:cs="Arial"/>
            <w:color w:val="AB0103"/>
            <w:sz w:val="20"/>
            <w:szCs w:val="20"/>
            <w:lang w:eastAsia="cs-CZ"/>
          </w:rPr>
          <w:t> – Lazaretní ulice</w:t>
        </w:r>
      </w:hyperlink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Energetické strojírny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Vídeňská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Brnosmalt</w:t>
      </w:r>
      <w:proofErr w:type="spellEnd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Václavská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Elektromontážní</w:t>
      </w:r>
      <w:proofErr w:type="spellEnd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závody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Závody těžkého strojírenství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Sokolova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Závody průmyslové automatizace (ZPA)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Stavební strojírny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Šmeralovy</w:t>
      </w:r>
      <w:proofErr w:type="spellEnd"/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 xml:space="preserve"> závody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Křenová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Slévárna Slatina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 </w:t>
      </w:r>
      <w:proofErr w:type="spellStart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Tuřanka</w:t>
      </w:r>
      <w:proofErr w:type="spellEnd"/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Juranovy</w:t>
      </w:r>
      <w:proofErr w:type="spellEnd"/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 xml:space="preserve"> závody Brno – 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Plotní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Chemont</w:t>
      </w:r>
      <w:proofErr w:type="spellEnd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Vídeňská/Bašty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Avie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– </w:t>
      </w:r>
      <w:proofErr w:type="spellStart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Koněvova</w:t>
      </w:r>
      <w:proofErr w:type="spellEnd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Heršpická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Chirana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– </w:t>
      </w:r>
      <w:proofErr w:type="spellStart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Cejl</w:t>
      </w:r>
      <w:proofErr w:type="spellEnd"/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Tesla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 </w:t>
      </w:r>
      <w:proofErr w:type="spellStart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Purkyňova</w:t>
      </w:r>
      <w:proofErr w:type="spellEnd"/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MEZ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Šámalova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 xml:space="preserve">Elektrotechnické závody </w:t>
      </w:r>
      <w:proofErr w:type="spellStart"/>
      <w:proofErr w:type="gramStart"/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J.Fučíka</w:t>
      </w:r>
      <w:proofErr w:type="spellEnd"/>
      <w:proofErr w:type="gramEnd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– </w:t>
      </w:r>
      <w:proofErr w:type="spellStart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Čechyňská</w:t>
      </w:r>
      <w:proofErr w:type="spellEnd"/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Tesla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– </w:t>
      </w:r>
      <w:proofErr w:type="spellStart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Purkyňova</w:t>
      </w:r>
      <w:proofErr w:type="spellEnd"/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Prefa</w:t>
      </w:r>
      <w:proofErr w:type="spellEnd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– </w:t>
      </w:r>
      <w:proofErr w:type="spellStart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Kulkova</w:t>
      </w:r>
      <w:proofErr w:type="spellEnd"/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gramStart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Cihelny </w:t>
      </w:r>
      <w:proofErr w:type="spellStart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G</w:t>
      </w:r>
      <w:proofErr w:type="spellEnd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.Klimenta</w:t>
      </w:r>
      <w:proofErr w:type="gramEnd"/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Brněnské papírny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Křenová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Mosilana</w:t>
      </w:r>
      <w:proofErr w:type="spellEnd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Křenová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hyperlink r:id="rId7" w:tooltip="Ulice Plotní" w:history="1">
        <w:r w:rsidRPr="00A46D38">
          <w:rPr>
            <w:rFonts w:ascii="Arial" w:eastAsia="Times New Roman" w:hAnsi="Arial" w:cs="Arial"/>
            <w:b/>
            <w:bCs/>
            <w:color w:val="1C1C1C"/>
            <w:sz w:val="20"/>
            <w:szCs w:val="20"/>
            <w:lang w:eastAsia="cs-CZ"/>
          </w:rPr>
          <w:t>Vlněna</w:t>
        </w:r>
        <w:r w:rsidRPr="00A46D38">
          <w:rPr>
            <w:rFonts w:ascii="Arial" w:eastAsia="Times New Roman" w:hAnsi="Arial" w:cs="Arial"/>
            <w:color w:val="AB0103"/>
            <w:sz w:val="20"/>
            <w:szCs w:val="20"/>
            <w:lang w:eastAsia="cs-CZ"/>
          </w:rPr>
          <w:t xml:space="preserve"> – </w:t>
        </w:r>
        <w:proofErr w:type="spellStart"/>
        <w:r w:rsidRPr="00A46D38">
          <w:rPr>
            <w:rFonts w:ascii="Arial" w:eastAsia="Times New Roman" w:hAnsi="Arial" w:cs="Arial"/>
            <w:color w:val="AB0103"/>
            <w:sz w:val="20"/>
            <w:szCs w:val="20"/>
            <w:lang w:eastAsia="cs-CZ"/>
          </w:rPr>
          <w:t>Přízova</w:t>
        </w:r>
        <w:proofErr w:type="spellEnd"/>
      </w:hyperlink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Kras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A46D3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cs-CZ"/>
        </w:rPr>
        <w:t>– Bělidla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Jihomoravský průmysl masný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Masná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Lacrum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U vlečky</w:t>
      </w:r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proofErr w:type="spellStart"/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Fruta</w:t>
      </w:r>
      <w:proofErr w:type="spellEnd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– Brněnská, </w:t>
      </w:r>
      <w:proofErr w:type="spellStart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Modřice</w:t>
      </w:r>
      <w:proofErr w:type="spellEnd"/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b/>
          <w:bCs/>
          <w:color w:val="1C1C1C"/>
          <w:sz w:val="20"/>
          <w:szCs w:val="20"/>
          <w:lang w:eastAsia="cs-CZ"/>
        </w:rPr>
        <w:t>Jihomoravské pekárny</w:t>
      </w: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– </w:t>
      </w:r>
      <w:proofErr w:type="spellStart"/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Běhounská</w:t>
      </w:r>
      <w:proofErr w:type="spellEnd"/>
    </w:p>
    <w:p w:rsidR="00A46D38" w:rsidRPr="00A46D38" w:rsidRDefault="00A46D38" w:rsidP="00A46D38">
      <w:pPr>
        <w:numPr>
          <w:ilvl w:val="0"/>
          <w:numId w:val="1"/>
        </w:numPr>
        <w:spacing w:after="0" w:line="206" w:lineRule="atLeast"/>
        <w:ind w:left="18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46D3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Jihomoravské pivovary</w:t>
      </w:r>
    </w:p>
    <w:p w:rsidR="009F42E2" w:rsidRDefault="009F42E2"/>
    <w:sectPr w:rsidR="009F42E2" w:rsidSect="009F4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B09CB"/>
    <w:multiLevelType w:val="multilevel"/>
    <w:tmpl w:val="E8F2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46D38"/>
    <w:rsid w:val="009F42E2"/>
    <w:rsid w:val="00A46D38"/>
    <w:rsid w:val="00B32CF8"/>
    <w:rsid w:val="00EF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42E2"/>
  </w:style>
  <w:style w:type="paragraph" w:styleId="Nadpis4">
    <w:name w:val="heading 4"/>
    <w:basedOn w:val="Normln"/>
    <w:link w:val="Nadpis4Char"/>
    <w:uiPriority w:val="9"/>
    <w:qFormat/>
    <w:rsid w:val="00A46D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A46D38"/>
  </w:style>
  <w:style w:type="character" w:customStyle="1" w:styleId="Nadpis4Char">
    <w:name w:val="Nadpis 4 Char"/>
    <w:basedOn w:val="Standardnpsmoodstavce"/>
    <w:link w:val="Nadpis4"/>
    <w:uiPriority w:val="9"/>
    <w:rsid w:val="00A46D3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6D3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46D3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unn.cz/ulice-plot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nn.cz/zbrojovk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</cp:revision>
  <dcterms:created xsi:type="dcterms:W3CDTF">2014-11-26T19:37:00Z</dcterms:created>
  <dcterms:modified xsi:type="dcterms:W3CDTF">2014-11-26T20:08:00Z</dcterms:modified>
</cp:coreProperties>
</file>